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CC2F2">
      <w:pPr>
        <w:keepNext/>
        <w:keepLines/>
        <w:widowControl w:val="0"/>
        <w:spacing w:before="480" w:after="200"/>
        <w:jc w:val="center"/>
        <w:outlineLvl w:val="0"/>
        <w:rPr>
          <w:rFonts w:hint="eastAsia" w:ascii="仿宋" w:hAnsi="仿宋" w:eastAsia="仿宋" w:cs="仿宋"/>
          <w:bCs/>
          <w:color w:val="auto"/>
          <w:sz w:val="40"/>
          <w:szCs w:val="21"/>
          <w:highlight w:val="none"/>
          <w:lang w:val="en-US" w:eastAsia="zh-CN" w:bidi="ar-SA"/>
        </w:rPr>
      </w:pPr>
      <w:r>
        <w:rPr>
          <w:rFonts w:hint="eastAsia" w:ascii="仿宋" w:hAnsi="仿宋" w:eastAsia="仿宋" w:cs="仿宋"/>
          <w:b/>
          <w:bCs/>
          <w:color w:val="auto"/>
          <w:sz w:val="40"/>
          <w:szCs w:val="40"/>
          <w:highlight w:val="none"/>
          <w:lang w:val="en-US" w:eastAsia="zh-CN" w:bidi="ar-SA"/>
        </w:rPr>
        <w:t>第四章 采购需求</w:t>
      </w:r>
    </w:p>
    <w:p w14:paraId="6B62869D">
      <w:pPr>
        <w:spacing w:before="120" w:after="120" w:line="5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项目属性：服务类项目</w:t>
      </w:r>
    </w:p>
    <w:p w14:paraId="7372CEAF">
      <w:pPr>
        <w:spacing w:before="120" w:after="120" w:line="52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本项目采购标的对应的中小企业划分标准所属行业：</w:t>
      </w:r>
      <w:r>
        <w:rPr>
          <w:rFonts w:hint="eastAsia" w:ascii="仿宋" w:hAnsi="仿宋" w:eastAsia="仿宋" w:cs="仿宋"/>
          <w:color w:val="auto"/>
          <w:kern w:val="0"/>
          <w:sz w:val="24"/>
          <w:szCs w:val="24"/>
          <w:highlight w:val="none"/>
          <w:u w:val="single"/>
        </w:rPr>
        <w:t xml:space="preserve"> 其他未列明行业 </w:t>
      </w:r>
    </w:p>
    <w:p w14:paraId="7C1BCE45">
      <w:pPr>
        <w:spacing w:line="520" w:lineRule="exact"/>
        <w:rPr>
          <w:rFonts w:hint="eastAsia" w:ascii="仿宋" w:hAnsi="仿宋" w:eastAsia="仿宋" w:cs="仿宋"/>
          <w:bCs/>
          <w:color w:val="auto"/>
          <w:kern w:val="0"/>
          <w:sz w:val="24"/>
          <w:szCs w:val="24"/>
          <w:highlight w:val="none"/>
        </w:rPr>
      </w:pPr>
    </w:p>
    <w:p w14:paraId="6507E604">
      <w:pPr>
        <w:widowControl/>
        <w:spacing w:line="520" w:lineRule="exact"/>
        <w:ind w:left="0" w:firstLine="482"/>
        <w:contextualSpacing/>
        <w:jc w:val="left"/>
        <w:rPr>
          <w:rFonts w:hint="eastAsia" w:ascii="仿宋" w:hAnsi="仿宋" w:eastAsia="仿宋" w:cs="仿宋"/>
          <w:b/>
          <w:color w:val="auto"/>
          <w:sz w:val="24"/>
          <w:szCs w:val="24"/>
          <w:highlight w:val="none"/>
          <w:lang w:val="en-US" w:eastAsia="en-US" w:bidi="en-US"/>
        </w:rPr>
      </w:pPr>
      <w:r>
        <w:rPr>
          <w:rFonts w:hint="eastAsia" w:ascii="仿宋" w:hAnsi="仿宋" w:eastAsia="仿宋" w:cs="仿宋"/>
          <w:b/>
          <w:color w:val="auto"/>
          <w:sz w:val="24"/>
          <w:szCs w:val="24"/>
          <w:highlight w:val="none"/>
          <w:lang w:val="en-US" w:eastAsia="zh-CN" w:bidi="en-US"/>
        </w:rPr>
        <w:t>一、项目概况</w:t>
      </w:r>
    </w:p>
    <w:p w14:paraId="6733E05B">
      <w:pPr>
        <w:widowControl w:val="0"/>
        <w:spacing w:line="520" w:lineRule="exact"/>
        <w:ind w:firstLine="464"/>
        <w:jc w:val="both"/>
        <w:rPr>
          <w:rFonts w:hint="eastAsia" w:ascii="仿宋" w:hAnsi="仿宋" w:eastAsia="仿宋" w:cs="仿宋"/>
          <w:color w:val="auto"/>
          <w:spacing w:val="-4"/>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为贯彻落实 2024 年省委一号文件有关要求，了解掌握江苏省高标准农田数量、质量、利用情况以及宜建地块等状况，加快推动相关信息“上图入库”，建设全省高标准农田数据库，实现动态监测监管，经省政府同意，决定在全省开展高标准农田检查评估、“上图入库”工作（以下简称调查摸底工作）。2024年3月5日，农业农村厅联合省发改委、省财政厅、省自然资源厅、省生态环境厅、省水利厅印发《关于做好全省高标准农田检查评估、“上图入库”工作的通知》（苏农建〔2024〕6号）。</w:t>
      </w:r>
    </w:p>
    <w:p w14:paraId="769FB3EF">
      <w:pPr>
        <w:widowControl w:val="0"/>
        <w:spacing w:line="520" w:lineRule="exact"/>
        <w:ind w:firstLine="464"/>
        <w:jc w:val="both"/>
        <w:rPr>
          <w:rFonts w:hint="eastAsia" w:ascii="仿宋" w:hAnsi="仿宋" w:eastAsia="仿宋" w:cs="仿宋"/>
          <w:color w:val="auto"/>
          <w:spacing w:val="-4"/>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为积极响应《农业农村部农田建设管理司关于请核实确认高标准农田上图入库结果的函》、《关于做好全省高标准农田检查评估、上图入库工作的通知》、《江苏省高标准农田调查摸底上图入库总体执行方案》、《全省高标准农田检查评估、“上图入库”实施方案》等文件精神，开展宿迁市高标准农田调查摸底、“上图入库”工作(以下简称调查摸底工作)。</w:t>
      </w:r>
    </w:p>
    <w:p w14:paraId="1FDA9848">
      <w:pPr>
        <w:widowControl w:val="0"/>
        <w:spacing w:line="520" w:lineRule="exact"/>
        <w:ind w:firstLine="480"/>
        <w:jc w:val="both"/>
        <w:rPr>
          <w:rFonts w:hint="eastAsia" w:ascii="仿宋" w:hAnsi="仿宋" w:eastAsia="仿宋" w:cs="仿宋"/>
          <w:color w:val="auto"/>
          <w:spacing w:val="-4"/>
          <w:sz w:val="24"/>
          <w:szCs w:val="21"/>
          <w:highlight w:val="none"/>
          <w:lang w:val="en-US" w:eastAsia="zh-CN" w:bidi="ar-SA"/>
        </w:rPr>
      </w:pPr>
      <w:r>
        <w:rPr>
          <w:rFonts w:hint="eastAsia" w:ascii="仿宋" w:hAnsi="仿宋" w:eastAsia="仿宋" w:cs="仿宋"/>
          <w:color w:val="auto"/>
          <w:sz w:val="24"/>
          <w:szCs w:val="21"/>
          <w:highlight w:val="none"/>
          <w:lang w:val="en-US" w:eastAsia="zh-CN" w:bidi="ar-SA"/>
        </w:rPr>
        <w:t>本次采购</w:t>
      </w:r>
      <w:r>
        <w:rPr>
          <w:rFonts w:hint="eastAsia" w:ascii="仿宋" w:hAnsi="仿宋" w:eastAsia="仿宋" w:cs="仿宋"/>
          <w:color w:val="auto"/>
          <w:sz w:val="24"/>
          <w:szCs w:val="21"/>
          <w:highlight w:val="none"/>
          <w:u w:val="single"/>
          <w:lang w:val="en-US" w:eastAsia="zh-CN" w:bidi="ar-SA"/>
        </w:rPr>
        <w:t>宿迁市高标准农田调查摸底上图入库项目</w:t>
      </w:r>
      <w:r>
        <w:rPr>
          <w:rFonts w:hint="eastAsia" w:ascii="仿宋" w:hAnsi="仿宋" w:eastAsia="仿宋" w:cs="仿宋"/>
          <w:color w:val="auto"/>
          <w:sz w:val="24"/>
          <w:szCs w:val="24"/>
          <w:highlight w:val="none"/>
          <w:lang w:val="en-US" w:eastAsia="zh-CN" w:bidi="ar-SA"/>
        </w:rPr>
        <w:t>，项目预算为</w:t>
      </w:r>
      <w:r>
        <w:rPr>
          <w:rFonts w:hint="eastAsia" w:ascii="仿宋" w:hAnsi="仿宋" w:eastAsia="仿宋" w:cs="仿宋"/>
          <w:color w:val="auto"/>
          <w:sz w:val="24"/>
          <w:szCs w:val="24"/>
          <w:highlight w:val="none"/>
          <w:u w:val="single"/>
          <w:lang w:val="en-US" w:eastAsia="zh-CN" w:bidi="ar-SA"/>
        </w:rPr>
        <w:t>92万元</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1"/>
          <w:highlight w:val="none"/>
          <w:lang w:val="en-US" w:eastAsia="zh-CN" w:bidi="ar-SA"/>
        </w:rPr>
        <w:t>最高限价</w:t>
      </w:r>
      <w:r>
        <w:rPr>
          <w:rFonts w:hint="eastAsia" w:ascii="仿宋" w:hAnsi="仿宋" w:eastAsia="仿宋" w:cs="仿宋"/>
          <w:color w:val="auto"/>
          <w:sz w:val="24"/>
          <w:szCs w:val="21"/>
          <w:highlight w:val="none"/>
          <w:u w:val="single"/>
          <w:lang w:val="en-US" w:eastAsia="zh-CN" w:bidi="ar-SA"/>
        </w:rPr>
        <w:t>91万元</w:t>
      </w:r>
      <w:r>
        <w:rPr>
          <w:rFonts w:hint="eastAsia" w:ascii="仿宋" w:hAnsi="仿宋" w:eastAsia="仿宋" w:cs="仿宋"/>
          <w:color w:val="auto"/>
          <w:spacing w:val="-4"/>
          <w:sz w:val="24"/>
          <w:szCs w:val="24"/>
          <w:highlight w:val="none"/>
          <w:lang w:val="en-US" w:eastAsia="zh-CN" w:bidi="ar-SA"/>
        </w:rPr>
        <w:t>。</w:t>
      </w:r>
    </w:p>
    <w:p w14:paraId="29B3F1B6">
      <w:pPr>
        <w:widowControl/>
        <w:spacing w:line="520" w:lineRule="exact"/>
        <w:ind w:left="0" w:firstLine="482"/>
        <w:contextualSpacing/>
        <w:jc w:val="left"/>
        <w:rPr>
          <w:rFonts w:hint="eastAsia" w:ascii="仿宋" w:hAnsi="仿宋" w:eastAsia="仿宋" w:cs="仿宋"/>
          <w:b/>
          <w:color w:val="auto"/>
          <w:sz w:val="24"/>
          <w:szCs w:val="24"/>
          <w:highlight w:val="none"/>
          <w:lang w:val="en-US" w:eastAsia="en-US" w:bidi="en-US"/>
        </w:rPr>
      </w:pPr>
      <w:r>
        <w:rPr>
          <w:rFonts w:hint="eastAsia" w:ascii="仿宋" w:hAnsi="仿宋" w:eastAsia="仿宋" w:cs="仿宋"/>
          <w:b/>
          <w:color w:val="auto"/>
          <w:sz w:val="24"/>
          <w:szCs w:val="24"/>
          <w:highlight w:val="none"/>
          <w:lang w:val="en-US" w:eastAsia="zh-CN" w:bidi="en-US"/>
        </w:rPr>
        <w:t>二、合同履行期限及地点</w:t>
      </w:r>
    </w:p>
    <w:p w14:paraId="52EDCBAC">
      <w:pPr>
        <w:widowControl w:val="0"/>
        <w:spacing w:line="520" w:lineRule="exact"/>
        <w:ind w:firstLine="464"/>
        <w:jc w:val="both"/>
        <w:rPr>
          <w:rFonts w:hint="eastAsia" w:ascii="仿宋" w:hAnsi="仿宋" w:eastAsia="仿宋" w:cs="仿宋"/>
          <w:color w:val="auto"/>
          <w:spacing w:val="-4"/>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服务期：</w:t>
      </w:r>
      <w:r>
        <w:rPr>
          <w:rFonts w:hint="eastAsia" w:ascii="仿宋" w:hAnsi="仿宋" w:eastAsia="仿宋" w:cs="仿宋"/>
          <w:color w:val="auto"/>
          <w:sz w:val="24"/>
          <w:szCs w:val="24"/>
          <w:highlight w:val="none"/>
          <w:lang w:val="en-US" w:eastAsia="zh-CN" w:bidi="ar-SA"/>
        </w:rPr>
        <w:t>从合同签订之日起至完成全部服务内容止。预计在2025年12月底前完成，具体时间以省级要求为准。</w:t>
      </w:r>
    </w:p>
    <w:p w14:paraId="59EE6FE2">
      <w:pPr>
        <w:widowControl w:val="0"/>
        <w:spacing w:line="520" w:lineRule="exact"/>
        <w:ind w:firstLine="464"/>
        <w:jc w:val="both"/>
        <w:rPr>
          <w:rFonts w:hint="eastAsia" w:ascii="仿宋" w:hAnsi="仿宋" w:eastAsia="仿宋" w:cs="仿宋"/>
          <w:color w:val="auto"/>
          <w:spacing w:val="-4"/>
          <w:sz w:val="24"/>
          <w:szCs w:val="21"/>
          <w:highlight w:val="none"/>
          <w:lang w:val="en-US" w:eastAsia="zh-CN" w:bidi="ar-SA"/>
        </w:rPr>
      </w:pPr>
      <w:r>
        <w:rPr>
          <w:rFonts w:hint="eastAsia" w:ascii="仿宋" w:hAnsi="仿宋" w:eastAsia="仿宋" w:cs="仿宋"/>
          <w:color w:val="auto"/>
          <w:spacing w:val="-4"/>
          <w:sz w:val="24"/>
          <w:szCs w:val="24"/>
          <w:highlight w:val="none"/>
          <w:lang w:val="en-US" w:eastAsia="zh-CN" w:bidi="ar-SA"/>
        </w:rPr>
        <w:t>服务地点：宿迁市，具体由采购人指定。</w:t>
      </w:r>
    </w:p>
    <w:p w14:paraId="42486DD0">
      <w:pPr>
        <w:widowControl/>
        <w:spacing w:line="520" w:lineRule="exact"/>
        <w:ind w:left="0" w:firstLine="482"/>
        <w:contextualSpacing/>
        <w:jc w:val="left"/>
        <w:rPr>
          <w:rFonts w:hint="eastAsia" w:ascii="仿宋" w:hAnsi="仿宋" w:eastAsia="仿宋" w:cs="仿宋"/>
          <w:b/>
          <w:color w:val="auto"/>
          <w:sz w:val="24"/>
          <w:szCs w:val="24"/>
          <w:highlight w:val="none"/>
          <w:lang w:val="en-US" w:eastAsia="en-US" w:bidi="en-US"/>
        </w:rPr>
      </w:pPr>
      <w:r>
        <w:rPr>
          <w:rFonts w:hint="eastAsia" w:ascii="仿宋" w:hAnsi="仿宋" w:eastAsia="仿宋" w:cs="仿宋"/>
          <w:b/>
          <w:color w:val="auto"/>
          <w:sz w:val="24"/>
          <w:szCs w:val="24"/>
          <w:highlight w:val="none"/>
          <w:lang w:val="en-US" w:eastAsia="zh-CN" w:bidi="en-US"/>
        </w:rPr>
        <w:t>三、付款方式</w:t>
      </w:r>
    </w:p>
    <w:p w14:paraId="2702E905">
      <w:pPr>
        <w:widowControl w:val="0"/>
        <w:spacing w:line="520" w:lineRule="exact"/>
        <w:ind w:firstLine="480"/>
        <w:jc w:val="both"/>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szCs w:val="21"/>
          <w:highlight w:val="none"/>
          <w:lang w:val="en-US" w:eastAsia="zh-CN" w:bidi="ar-SA"/>
        </w:rPr>
        <w:t>对于满足合同约定支付条件的，自收到发票后10个工作日内将资金支付到合同约定的供应商账户或供应商数字人民币账户。</w:t>
      </w:r>
    </w:p>
    <w:p w14:paraId="71B3927E">
      <w:pPr>
        <w:widowControl w:val="0"/>
        <w:spacing w:line="520" w:lineRule="exact"/>
        <w:ind w:firstLine="480"/>
        <w:jc w:val="both"/>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szCs w:val="21"/>
          <w:highlight w:val="none"/>
          <w:lang w:val="en-US" w:eastAsia="zh-CN" w:bidi="ar-SA"/>
        </w:rPr>
        <w:t>合同签订且在收到供应商发票后10个工作日内，支付合同价款的30%作为预付款；方案编制完成后且收到供应商发票后10个工作日内付至合同价款的70%；形成最终成果，并通过采购单位组织的验收合格且收到供应商发票后10个工作日内（</w:t>
      </w:r>
      <w:r>
        <w:rPr>
          <w:rFonts w:hint="eastAsia" w:ascii="仿宋" w:hAnsi="仿宋" w:eastAsia="仿宋" w:cs="仿宋"/>
          <w:bCs/>
          <w:color w:val="auto"/>
          <w:sz w:val="24"/>
          <w:szCs w:val="21"/>
          <w:highlight w:val="none"/>
          <w:lang w:val="en-US" w:eastAsia="zh-CN" w:bidi="ar-SA"/>
        </w:rPr>
        <w:t>预计</w:t>
      </w:r>
      <w:r>
        <w:rPr>
          <w:rFonts w:hint="eastAsia" w:ascii="仿宋" w:hAnsi="仿宋" w:eastAsia="仿宋" w:cs="仿宋"/>
          <w:bCs/>
          <w:color w:val="auto"/>
          <w:sz w:val="24"/>
          <w:szCs w:val="21"/>
          <w:highlight w:val="none"/>
          <w:lang w:val="en-US" w:eastAsia="zh-CN" w:bidi="ar-SA"/>
        </w:rPr>
        <w:t>2025年12月31日前），付至合同价款的 100%。</w:t>
      </w:r>
    </w:p>
    <w:p w14:paraId="04C8D352">
      <w:pPr>
        <w:widowControl w:val="0"/>
        <w:spacing w:line="520" w:lineRule="exact"/>
        <w:ind w:firstLine="480"/>
        <w:jc w:val="both"/>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szCs w:val="21"/>
          <w:highlight w:val="none"/>
          <w:lang w:val="en-US" w:eastAsia="zh-CN" w:bidi="ar-SA"/>
        </w:rPr>
        <w:t>注：在签订合同时，成交人明确表示无需预付款或者主动要求降低预付款比例的金额，采购人可不适用预付款规定。</w:t>
      </w:r>
    </w:p>
    <w:p w14:paraId="44DBFAEA">
      <w:pPr>
        <w:widowControl w:val="0"/>
        <w:spacing w:line="520" w:lineRule="exact"/>
        <w:ind w:firstLine="482"/>
        <w:jc w:val="both"/>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四、服务内容及要求</w:t>
      </w:r>
    </w:p>
    <w:p w14:paraId="6026DBBA">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（一）服务范围</w:t>
      </w:r>
    </w:p>
    <w:p w14:paraId="6374C6AE">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宿迁市2011年以来已建成并完成上图入库的高标准农田项目，包括：清查评估入库的2011–2018年各级各有关部门建设管理的高标准农田项目，2019–2024年农业农村部门统一建设管理并纳入全国农田建设综合监测监管平台的高标准农田项目；以及耕地内未建高标准农田区域地块。</w:t>
      </w:r>
    </w:p>
    <w:p w14:paraId="313C59A8">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（二）服务内容</w:t>
      </w:r>
    </w:p>
    <w:p w14:paraId="22275DAE">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具体内容包括：根据《全省高标准农田检查评估、“上图入库”实施方案》，配合做好宿迁市调查摸底前期准备工作，包含方案编制、硬件保障、人员培训等；组织区县开展项目位置面积复查和校核比对；对区县汇交的数据成果进行质量控制核查，包含项目位置面积复查与校核比对质量控制、高标准农田项目信息采集与上图质量控制；完成本级的数据建库和汇交；编制宿迁市的调查摸底数据成果并完成项目验收。</w:t>
      </w:r>
    </w:p>
    <w:p w14:paraId="6ABE83B9">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1、项目工作准备</w:t>
      </w:r>
    </w:p>
    <w:p w14:paraId="65F0527D">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筹落实调查摸底工作相关的人财物等资源保障安排，包括开展方案编制、硬件保障、人员培训等。</w:t>
      </w:r>
    </w:p>
    <w:p w14:paraId="6BE571BC">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（1）方案编制</w:t>
      </w:r>
    </w:p>
    <w:p w14:paraId="5EA87366">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根据实际需求编制宿迁市级调查摸底工作的预算方案及工作（含技术）方案，符合自身实际、</w:t>
      </w:r>
      <w:r>
        <w:rPr>
          <w:rFonts w:hint="eastAsia" w:ascii="仿宋" w:hAnsi="仿宋" w:eastAsia="仿宋" w:cs="仿宋"/>
          <w:color w:val="auto"/>
          <w:spacing w:val="-4"/>
          <w:kern w:val="0"/>
          <w:sz w:val="24"/>
          <w:highlight w:val="none"/>
          <w:lang w:val="en-US"/>
        </w:rPr>
        <w:t>切合实际</w:t>
      </w:r>
      <w:r>
        <w:rPr>
          <w:rFonts w:hint="eastAsia" w:ascii="仿宋" w:hAnsi="仿宋" w:eastAsia="仿宋" w:cs="仿宋"/>
          <w:color w:val="auto"/>
          <w:spacing w:val="-4"/>
          <w:kern w:val="0"/>
          <w:sz w:val="24"/>
          <w:highlight w:val="none"/>
        </w:rPr>
        <w:t>、量化清晰的调查摸底工作方案，明确调查摸底工作的目标、内容、步骤、技术路线、进度安排、责任分工、工作措施、工作保障等。</w:t>
      </w:r>
    </w:p>
    <w:p w14:paraId="78D96337">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（2）硬件保障</w:t>
      </w:r>
    </w:p>
    <w:p w14:paraId="1AF11EC4">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lang w:val="en-US"/>
        </w:rPr>
        <w:t>1</w:t>
      </w:r>
      <w:r>
        <w:rPr>
          <w:rFonts w:hint="eastAsia" w:ascii="仿宋" w:hAnsi="仿宋" w:eastAsia="仿宋" w:cs="仿宋"/>
          <w:color w:val="auto"/>
          <w:spacing w:val="-4"/>
          <w:kern w:val="0"/>
          <w:sz w:val="24"/>
          <w:highlight w:val="none"/>
        </w:rPr>
        <w:t>）需具备满足调查摸底工具（WEB）系统单机运行的PC终端。</w:t>
      </w:r>
    </w:p>
    <w:p w14:paraId="4DA43FAA">
      <w:pPr>
        <w:spacing w:line="520" w:lineRule="exact"/>
        <w:ind w:firstLine="464"/>
        <w:rPr>
          <w:rFonts w:hint="default"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2）供应商应按照项目要求配备必要的设备仪器、小型无人机、</w:t>
      </w:r>
      <w:r>
        <w:rPr>
          <w:rFonts w:hint="eastAsia" w:ascii="仿宋" w:hAnsi="仿宋" w:eastAsia="仿宋" w:cs="仿宋"/>
          <w:color w:val="auto"/>
          <w:spacing w:val="-4"/>
          <w:kern w:val="0"/>
          <w:sz w:val="24"/>
          <w:highlight w:val="none"/>
          <w:lang w:val="en-US"/>
        </w:rPr>
        <w:t>2台全新PC 终端硬件（CPU16核、内存32GB、 磁盘10TB 以上）、车辆等，并投入使用（2台全新PC 终端硬件项目完成后移交甲方保管）</w:t>
      </w:r>
      <w:r>
        <w:rPr>
          <w:rFonts w:hint="eastAsia" w:ascii="仿宋" w:hAnsi="仿宋" w:eastAsia="仿宋" w:cs="仿宋"/>
          <w:color w:val="auto"/>
          <w:spacing w:val="-4"/>
          <w:kern w:val="0"/>
          <w:sz w:val="24"/>
          <w:highlight w:val="none"/>
          <w:lang w:val="en-US"/>
        </w:rPr>
        <w:t>。</w:t>
      </w:r>
    </w:p>
    <w:p w14:paraId="590C7C94">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（3）人员培训</w:t>
      </w:r>
    </w:p>
    <w:p w14:paraId="154333C1">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根据工作需要组织做好工作动员和人员培训工作，协调组织培训单位和参会人员，包含对本级及下属区县调查摸底的工作指导，确保各级人员全面了解本次调查摸底工作，保障工作顺利进行。</w:t>
      </w:r>
    </w:p>
    <w:p w14:paraId="70253D2D">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2、组织开展项目位置面积复查和校核比对</w:t>
      </w:r>
    </w:p>
    <w:p w14:paraId="264FFDD6">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根据省级下发的2011-2024年度高标准农田上图入库项目清单与基础数据，组织区县核实修正项目清单与基本信息，补录缺失矢量与信息，补录自建补建项目，合并重复上图项目，修订和划定项目范围，完成上图入库数据审核确认与汇交。</w:t>
      </w:r>
    </w:p>
    <w:p w14:paraId="3B284077">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3、质量控制与抽检</w:t>
      </w:r>
    </w:p>
    <w:p w14:paraId="200E9313">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通过合同约定方式，与技术服务单位明确细化质量控制要求，技术服务单位建立内部质量控制机制，编制宿迁市的调查摸底工作质量控制方案，落实质量控制人员和资质要求。通过过程监管（监理），数据汇总自检，对数据完整性、规范性、真实性和准确性进行质量控制，形成质量控制报告，同时接受省级工作指导和监督检查。</w:t>
      </w:r>
    </w:p>
    <w:p w14:paraId="20537DB2">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（1）高标准农田项目位置面积复查与校核比对质量控制</w:t>
      </w:r>
    </w:p>
    <w:p w14:paraId="55B37973">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对区县汇交的项目基本信息和边界范围线进行内业检查。质控要求包括核实确认省级下发的项目基本信息及区县级修正、补充的边界范围真实性和准确性。</w:t>
      </w:r>
    </w:p>
    <w:p w14:paraId="61272917">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（2）高标准农田项目信息采集与上图质量控制</w:t>
      </w:r>
    </w:p>
    <w:p w14:paraId="206E453B">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对已建区域的高标准农田（面积以工作底图为准）按照2%的抽检比例进行质量抽检。覆盖范围要求覆盖全部所属县级行政区，同时兼顾区域内“2011-2018年度项目”（占比不低于60%）和“2019-2024年度项目”比例（占比不低于30%）。对未建区域抽查比例控制在1%左右。</w:t>
      </w:r>
    </w:p>
    <w:p w14:paraId="09B82176">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4、数据建库及汇交</w:t>
      </w:r>
    </w:p>
    <w:p w14:paraId="74D23D9F">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依据数据库标准，建立符合本次项目技术设计的数据库，主要分为项目区数据库、工程设施数据库和专题数据库三类。将建立的标准数据库，依照统一的标准和规则，导入相关管理平台。并按照汇交相关要求，将本次调查摸底的的成果汇交到省级。</w:t>
      </w:r>
    </w:p>
    <w:p w14:paraId="7B6FC549">
      <w:pPr>
        <w:spacing w:line="520" w:lineRule="exact"/>
        <w:ind w:firstLine="464"/>
        <w:rPr>
          <w:rFonts w:hint="default"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rPr>
        <w:t>5、项目</w:t>
      </w:r>
      <w:r>
        <w:rPr>
          <w:rFonts w:hint="eastAsia" w:ascii="仿宋" w:hAnsi="仿宋" w:eastAsia="仿宋" w:cs="仿宋"/>
          <w:color w:val="auto"/>
          <w:spacing w:val="-4"/>
          <w:kern w:val="0"/>
          <w:sz w:val="24"/>
          <w:highlight w:val="none"/>
          <w:lang w:val="en-US"/>
        </w:rPr>
        <w:t>保障</w:t>
      </w:r>
    </w:p>
    <w:p w14:paraId="4CEBA8AB">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项目后期需要根据省级要求进行数据的整改补充工作，对于不合格的数据，技术单位承担整改和二次质检费用，重新调查整改，直至数据通过逐级质检并入库，</w:t>
      </w:r>
      <w:r>
        <w:rPr>
          <w:rFonts w:hint="eastAsia" w:ascii="仿宋" w:hAnsi="仿宋" w:eastAsia="仿宋" w:cs="仿宋"/>
          <w:color w:val="auto"/>
          <w:spacing w:val="-4"/>
          <w:kern w:val="0"/>
          <w:sz w:val="24"/>
          <w:highlight w:val="none"/>
          <w:lang w:val="en-US"/>
        </w:rPr>
        <w:t>直至</w:t>
      </w:r>
      <w:r>
        <w:rPr>
          <w:rFonts w:hint="eastAsia" w:ascii="仿宋" w:hAnsi="仿宋" w:eastAsia="仿宋" w:cs="仿宋"/>
          <w:color w:val="auto"/>
          <w:spacing w:val="-4"/>
          <w:kern w:val="0"/>
          <w:sz w:val="24"/>
          <w:highlight w:val="none"/>
        </w:rPr>
        <w:t>完成项目验收。</w:t>
      </w:r>
    </w:p>
    <w:p w14:paraId="4646A9EB">
      <w:pPr>
        <w:spacing w:line="520" w:lineRule="exact"/>
        <w:ind w:firstLine="464"/>
        <w:rPr>
          <w:rFonts w:hint="eastAsia" w:ascii="仿宋" w:hAnsi="仿宋" w:eastAsia="仿宋" w:cs="仿宋"/>
          <w:b/>
          <w:bCs/>
          <w:color w:val="auto"/>
          <w:spacing w:val="-4"/>
          <w:kern w:val="0"/>
          <w:sz w:val="24"/>
          <w:szCs w:val="22"/>
          <w:highlight w:val="none"/>
        </w:rPr>
      </w:pPr>
      <w:r>
        <w:rPr>
          <w:rFonts w:hint="eastAsia" w:ascii="仿宋" w:hAnsi="仿宋" w:eastAsia="仿宋" w:cs="仿宋"/>
          <w:b/>
          <w:bCs/>
          <w:color w:val="auto"/>
          <w:spacing w:val="-4"/>
          <w:kern w:val="0"/>
          <w:sz w:val="24"/>
          <w:highlight w:val="none"/>
        </w:rPr>
        <w:t>五、技术指标要求</w:t>
      </w:r>
    </w:p>
    <w:p w14:paraId="5ED45463">
      <w:pPr>
        <w:spacing w:line="520" w:lineRule="exact"/>
        <w:ind w:firstLine="464"/>
        <w:rPr>
          <w:rFonts w:hint="default" w:ascii="仿宋" w:hAnsi="仿宋" w:eastAsia="仿宋" w:cs="仿宋"/>
          <w:b w:val="0"/>
          <w:bCs w:val="0"/>
          <w:color w:val="auto"/>
          <w:spacing w:val="-4"/>
          <w:kern w:val="0"/>
          <w:sz w:val="24"/>
          <w:szCs w:val="22"/>
          <w:highlight w:val="none"/>
          <w:lang w:val="en-US"/>
        </w:rPr>
      </w:pPr>
      <w:r>
        <w:rPr>
          <w:rFonts w:hint="eastAsia" w:ascii="仿宋" w:hAnsi="仿宋" w:eastAsia="仿宋" w:cs="仿宋"/>
          <w:b w:val="0"/>
          <w:bCs w:val="0"/>
          <w:color w:val="auto"/>
          <w:spacing w:val="-4"/>
          <w:kern w:val="0"/>
          <w:sz w:val="24"/>
          <w:highlight w:val="none"/>
        </w:rPr>
        <w:t>（一）</w:t>
      </w:r>
      <w:r>
        <w:rPr>
          <w:rFonts w:hint="eastAsia" w:ascii="仿宋" w:hAnsi="仿宋" w:eastAsia="仿宋" w:cs="仿宋"/>
          <w:b w:val="0"/>
          <w:bCs w:val="0"/>
          <w:color w:val="auto"/>
          <w:spacing w:val="-4"/>
          <w:kern w:val="0"/>
          <w:sz w:val="24"/>
          <w:highlight w:val="none"/>
          <w:lang w:val="en-US"/>
        </w:rPr>
        <w:t>政策性依据</w:t>
      </w:r>
    </w:p>
    <w:p w14:paraId="391F23D9">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1.中共江苏省委江苏省人民政府《关于学习运用“千万工程”经验落实农业现代化走在前重大要求有力有效推进乡村全面振兴的实施意见》</w:t>
      </w:r>
    </w:p>
    <w:p w14:paraId="434C9EE2">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2.《全省高标准农田检查评估“上图入库” 实施方案》（苏农建〔2024〕6号）</w:t>
      </w:r>
    </w:p>
    <w:p w14:paraId="008C8B99">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3.《江苏省高标准农田建设项目规划设计技术标准》</w:t>
      </w:r>
    </w:p>
    <w:p w14:paraId="128217FD">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4.江苏省高标准农田调查摸底上图入库工作总体执行方案</w:t>
      </w:r>
    </w:p>
    <w:p w14:paraId="0E0AF807">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5.《江苏省省级机关培训费管理办法》（苏财行〔2017〕51号）</w:t>
      </w:r>
    </w:p>
    <w:p w14:paraId="4D1A5183">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6.《关于印发江苏省财政科研项目专家咨询费管理办法的通知》（苏财教【2018】47号）</w:t>
      </w:r>
    </w:p>
    <w:p w14:paraId="0CD05C9A">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7.《关于调整宿迁市市级机关培训费标准等问题的通知》（宿财行【2017】140号）</w:t>
      </w:r>
    </w:p>
    <w:p w14:paraId="2F026DAF">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8.《关于印发宿迁市市级机关会议管理办法的通知》（宿政发【2017】81号）</w:t>
      </w:r>
    </w:p>
    <w:p w14:paraId="5874FEE9">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9.《关于调整市级机关差旅费部分标准等有关问题的通知》（宿财行【2016】28号）</w:t>
      </w:r>
    </w:p>
    <w:p w14:paraId="4631FBA2">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10.《江苏省基础测绘项目预算标准》</w:t>
      </w:r>
    </w:p>
    <w:p w14:paraId="5B6F2873">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11.江苏省和宿迁市财政预算编制有关规定与要求</w:t>
      </w:r>
    </w:p>
    <w:p w14:paraId="6817B766">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12.行业相关技术规范</w:t>
      </w:r>
    </w:p>
    <w:p w14:paraId="642FE523">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w:t>
      </w:r>
      <w:r>
        <w:rPr>
          <w:rFonts w:hint="eastAsia" w:ascii="仿宋" w:hAnsi="仿宋" w:eastAsia="仿宋" w:cs="仿宋"/>
          <w:b w:val="0"/>
          <w:bCs w:val="0"/>
          <w:color w:val="auto"/>
          <w:spacing w:val="-4"/>
          <w:kern w:val="0"/>
          <w:sz w:val="24"/>
          <w:highlight w:val="none"/>
          <w:lang w:val="en-US"/>
        </w:rPr>
        <w:t>二</w:t>
      </w:r>
      <w:r>
        <w:rPr>
          <w:rFonts w:hint="eastAsia" w:ascii="仿宋" w:hAnsi="仿宋" w:eastAsia="仿宋" w:cs="仿宋"/>
          <w:b w:val="0"/>
          <w:bCs w:val="0"/>
          <w:color w:val="auto"/>
          <w:spacing w:val="-4"/>
          <w:kern w:val="0"/>
          <w:sz w:val="24"/>
          <w:highlight w:val="none"/>
        </w:rPr>
        <w:t>）主要技术标准及参考依据</w:t>
      </w:r>
    </w:p>
    <w:p w14:paraId="3B666EB0">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《国土资源部 国家发展改革委 财政部 水利部 农业部关于切实做好高标准农田建设统一上图入库工作的通知》（国土资发〔2017〕115号）</w:t>
      </w:r>
    </w:p>
    <w:p w14:paraId="16348ACC">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2</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《省政府办公厅关于印发江苏省高标准农田建设标准的通知》（苏政办发〔2021〕21号）</w:t>
      </w:r>
    </w:p>
    <w:p w14:paraId="7CDEB880">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3</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《全国高标准农田建设规划（2021-2030年）》</w:t>
      </w:r>
    </w:p>
    <w:p w14:paraId="4545FFC4">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4</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《关于做好全省高标准农田调查摸底、“上图入库”工作的通知》（苏农建〔2024〕6号）</w:t>
      </w:r>
    </w:p>
    <w:p w14:paraId="0C2E41DD">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5</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《高标准农田建设评价规范》（GB/T 33130-2016）</w:t>
      </w:r>
    </w:p>
    <w:p w14:paraId="4BDA8259">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6</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《耕地质量等级》（GB/T 33469-2016）</w:t>
      </w:r>
    </w:p>
    <w:p w14:paraId="3F113305">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7</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《土地利用现状分类》（GB/T 21010-2017）</w:t>
      </w:r>
    </w:p>
    <w:p w14:paraId="0F65BC56">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8</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《灌溉与排水工程设计标准》（GB 50288-2018）</w:t>
      </w:r>
    </w:p>
    <w:p w14:paraId="04638999">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9</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《信息安全技术 数据库管理系统安全技术要求》（GB/T 20273-2019）</w:t>
      </w:r>
    </w:p>
    <w:p w14:paraId="67140194">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10</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《基础地理信息数字成果元数据》（GB/T 39608-2020）</w:t>
      </w:r>
    </w:p>
    <w:p w14:paraId="2C1D49DF">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11</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《渠道防渗衬砌工程技术标准》（GB/T 50600-2020）</w:t>
      </w:r>
    </w:p>
    <w:p w14:paraId="09E97126">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12</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《高标准农田建设通则》（GB/T 30600-2022）</w:t>
      </w:r>
    </w:p>
    <w:p w14:paraId="132AF426">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13</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《全国耕地类型区、耕地地力等级划分》（NY/T 309—1996）</w:t>
      </w:r>
    </w:p>
    <w:p w14:paraId="02F00373">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14</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《耕地地力调查与质量评价技术规程》（NY/T 1634—2008）</w:t>
      </w:r>
    </w:p>
    <w:p w14:paraId="07479319">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15</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《高标准农田建设项目制图及其图例规范》（DB32/T 3721-2020）</w:t>
      </w:r>
    </w:p>
    <w:p w14:paraId="56DDD1F0">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16</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《高标准农田建设评价规范》（讨论稿）</w:t>
      </w:r>
    </w:p>
    <w:p w14:paraId="7F1B51BF">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（二）数学基础</w:t>
      </w:r>
    </w:p>
    <w:p w14:paraId="201F670E">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空间定位</w:t>
      </w:r>
    </w:p>
    <w:p w14:paraId="05F3A607">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坐标系统：采用2000国家大地坐标系；</w:t>
      </w:r>
    </w:p>
    <w:p w14:paraId="0A3BE79D">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投影系统：采用高斯-克吕格投影，采用标准3度分带平面直角坐标系；</w:t>
      </w:r>
    </w:p>
    <w:p w14:paraId="2A50B536">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高程系统：采用1985国家高程基准。</w:t>
      </w:r>
    </w:p>
    <w:p w14:paraId="7DE483B6">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2</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计量单位</w:t>
      </w:r>
    </w:p>
    <w:p w14:paraId="236F181A">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采用法定计量单位，数据精度在各项调查摸底工作技术规程规范中做详细说明。</w:t>
      </w:r>
    </w:p>
    <w:p w14:paraId="6A7D4B4E">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长度单位：根据需要采用千米（km）或米（m）计量；</w:t>
      </w:r>
    </w:p>
    <w:p w14:paraId="21ACE923">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面积单位：采用公顷（hm2），面积统计汇总单位采用公顷（hm2），万亩、亩作为辅助单位；</w:t>
      </w:r>
    </w:p>
    <w:p w14:paraId="33890AD3">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坐标单位：采用米（m）；</w:t>
      </w:r>
    </w:p>
    <w:p w14:paraId="1289CB40">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日期：采用公元纪年，时间采用北京时间；</w:t>
      </w:r>
    </w:p>
    <w:p w14:paraId="56E96285">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比例：采用百分比（%）的形式。</w:t>
      </w:r>
    </w:p>
    <w:p w14:paraId="6CFE9408">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（三）技术要求</w:t>
      </w:r>
    </w:p>
    <w:p w14:paraId="350E8320">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调查摸底工作质量控制要求：</w:t>
      </w:r>
    </w:p>
    <w:p w14:paraId="2E72BBA7">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市级对已建区域的高标准农田（面积以工作底图为准）按照2%的抽检比例进行质量抽检，市级抽取的检查单元要覆盖全部所属县级行政区，同时兼顾区域内“2011-2018年度项目”（占比不低于60%）和“2019-2024年度项目”比例（占比不低于30%）。对未建区域抽查比例控制在1%左右。</w:t>
      </w:r>
    </w:p>
    <w:p w14:paraId="5BC652EA">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2</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高标准农田项目位置面积复查与校核比对质量控制检查覆盖范围为100%，高标准农田项目信息采集与上图需按质量控制规范进行抽检，抽检数据总体合格率需大于95%，其他具体技术要求符合江苏省高标准农田数据质量管理操作规程。</w:t>
      </w:r>
    </w:p>
    <w:p w14:paraId="602D6D4D">
      <w:pPr>
        <w:spacing w:line="520" w:lineRule="exact"/>
        <w:ind w:firstLine="464"/>
        <w:rPr>
          <w:rFonts w:hint="eastAsia" w:ascii="仿宋" w:hAnsi="仿宋" w:eastAsia="仿宋" w:cs="仿宋"/>
          <w:b/>
          <w:bCs/>
          <w:color w:val="auto"/>
          <w:spacing w:val="-4"/>
          <w:kern w:val="0"/>
          <w:sz w:val="24"/>
          <w:szCs w:val="22"/>
          <w:highlight w:val="none"/>
        </w:rPr>
      </w:pPr>
      <w:r>
        <w:rPr>
          <w:rFonts w:hint="eastAsia" w:ascii="仿宋" w:hAnsi="仿宋" w:eastAsia="仿宋" w:cs="仿宋"/>
          <w:b/>
          <w:bCs/>
          <w:color w:val="auto"/>
          <w:spacing w:val="-4"/>
          <w:kern w:val="0"/>
          <w:sz w:val="24"/>
          <w:highlight w:val="none"/>
          <w:lang w:val="en-US"/>
        </w:rPr>
        <w:t>六、进度要求</w:t>
      </w:r>
    </w:p>
    <w:p w14:paraId="47B30433">
      <w:pPr>
        <w:widowControl w:val="0"/>
        <w:spacing w:line="520" w:lineRule="exact"/>
        <w:ind w:firstLine="480"/>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1.第一阶段（合同签订之日起至2025年1月底前），配合市级编制调查摸底工作方案，做好调查摸底各项前期准备工作；</w:t>
      </w:r>
    </w:p>
    <w:p w14:paraId="69FA914D">
      <w:pPr>
        <w:widowControl w:val="0"/>
        <w:spacing w:line="520" w:lineRule="exact"/>
        <w:ind w:firstLine="480"/>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2.第二阶段（2025年7月底前），根据市级工作需要，做好业务及技术培训；配合市级指导县级开展工作；组织开展市本级数据调查（根据工作需要），并开展全过程质量控制和技术服务；</w:t>
      </w:r>
    </w:p>
    <w:p w14:paraId="46EF6A01">
      <w:pPr>
        <w:widowControl w:val="0"/>
        <w:spacing w:line="520" w:lineRule="exact"/>
        <w:ind w:firstLine="480"/>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3.第三阶段（2025年9月底前）组织县级数据汇交，对调查摸底成果进行质检；</w:t>
      </w:r>
    </w:p>
    <w:p w14:paraId="3CF70F21">
      <w:pPr>
        <w:widowControl w:val="0"/>
        <w:spacing w:line="520" w:lineRule="exact"/>
        <w:ind w:firstLine="480"/>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4.第四阶段（2025年12月前），配合省级完成调查摸底成果验证及确认，开展市级调查摸底成果验收。</w:t>
      </w:r>
    </w:p>
    <w:p w14:paraId="23669A6A">
      <w:pPr>
        <w:spacing w:line="520" w:lineRule="exact"/>
        <w:ind w:firstLine="466"/>
        <w:rPr>
          <w:rFonts w:hint="eastAsia" w:ascii="仿宋" w:hAnsi="仿宋" w:eastAsia="仿宋" w:cs="仿宋"/>
          <w:color w:val="auto"/>
          <w:spacing w:val="-4"/>
          <w:kern w:val="0"/>
          <w:sz w:val="24"/>
          <w:szCs w:val="22"/>
          <w:highlight w:val="none"/>
        </w:rPr>
      </w:pPr>
      <w:r>
        <w:rPr>
          <w:rFonts w:hint="eastAsia" w:ascii="仿宋" w:hAnsi="仿宋" w:eastAsia="仿宋" w:cs="仿宋"/>
          <w:b/>
          <w:bCs/>
          <w:color w:val="auto"/>
          <w:spacing w:val="-4"/>
          <w:kern w:val="0"/>
          <w:sz w:val="24"/>
          <w:highlight w:val="none"/>
          <w:lang w:val="en-US"/>
        </w:rPr>
        <w:t>六</w:t>
      </w:r>
      <w:r>
        <w:rPr>
          <w:rFonts w:hint="eastAsia" w:ascii="仿宋" w:hAnsi="仿宋" w:eastAsia="仿宋" w:cs="仿宋"/>
          <w:b/>
          <w:bCs/>
          <w:color w:val="auto"/>
          <w:spacing w:val="-4"/>
          <w:kern w:val="0"/>
          <w:sz w:val="24"/>
          <w:highlight w:val="none"/>
        </w:rPr>
        <w:t>、成果要求及形式</w:t>
      </w:r>
    </w:p>
    <w:p w14:paraId="6D342650">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1.数据成果</w:t>
      </w:r>
    </w:p>
    <w:p w14:paraId="4CA4ACDA">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汇总宿迁市行政区范围内已建高标准农田粮食产能、耕地流转等高标准农田等调查摸底数据。</w:t>
      </w:r>
    </w:p>
    <w:p w14:paraId="4F7EEA1E">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w:t>
      </w:r>
      <w:r>
        <w:rPr>
          <w:rFonts w:hint="eastAsia" w:ascii="仿宋" w:hAnsi="仿宋" w:eastAsia="仿宋" w:cs="仿宋"/>
          <w:color w:val="auto"/>
          <w:spacing w:val="-4"/>
          <w:kern w:val="0"/>
          <w:sz w:val="24"/>
          <w:szCs w:val="24"/>
          <w:highlight w:val="none"/>
          <w:lang w:val="en-US"/>
        </w:rPr>
        <w:t>1</w:t>
      </w:r>
      <w:r>
        <w:rPr>
          <w:rFonts w:hint="eastAsia" w:ascii="仿宋" w:hAnsi="仿宋" w:eastAsia="仿宋" w:cs="仿宋"/>
          <w:color w:val="auto"/>
          <w:spacing w:val="-4"/>
          <w:kern w:val="0"/>
          <w:sz w:val="24"/>
          <w:highlight w:val="none"/>
          <w:lang w:val="en-US"/>
        </w:rPr>
        <w:t>）市级行政区内已建高标准农田工程设施数据；</w:t>
      </w:r>
    </w:p>
    <w:p w14:paraId="0E1D1BC8">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（2）市级行政区内已建高标准农田粮食产能数据；</w:t>
      </w:r>
    </w:p>
    <w:p w14:paraId="035E71FC">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（3）市级行政区内已建高标准农田耕地流转数据；</w:t>
      </w:r>
    </w:p>
    <w:p w14:paraId="3ECA31DC">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（4）市级行政区内未建高标准农田宜建性评估数据。</w:t>
      </w:r>
    </w:p>
    <w:p w14:paraId="7C1E4458">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2.文字成果</w:t>
      </w:r>
    </w:p>
    <w:p w14:paraId="4B5332F0">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编制宿迁市行政区域高标准农田调查摸底工作分析报告。</w:t>
      </w:r>
    </w:p>
    <w:p w14:paraId="31314F35">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（1）市级高标准农田调查摸底工作总结报告；</w:t>
      </w:r>
    </w:p>
    <w:p w14:paraId="2680E401">
      <w:pPr>
        <w:spacing w:line="520" w:lineRule="exact"/>
        <w:ind w:firstLine="464"/>
        <w:rPr>
          <w:rFonts w:hint="eastAsia" w:ascii="仿宋" w:hAnsi="仿宋" w:eastAsia="仿宋" w:cs="仿宋"/>
          <w:color w:val="auto"/>
          <w:spacing w:val="-4"/>
          <w:kern w:val="0"/>
          <w:sz w:val="24"/>
          <w:szCs w:val="22"/>
          <w:highlight w:val="none"/>
          <w:lang w:val="en-US"/>
        </w:rPr>
      </w:pPr>
      <w:r>
        <w:rPr>
          <w:rFonts w:hint="eastAsia" w:ascii="仿宋" w:hAnsi="仿宋" w:eastAsia="仿宋" w:cs="仿宋"/>
          <w:color w:val="auto"/>
          <w:spacing w:val="-4"/>
          <w:kern w:val="0"/>
          <w:sz w:val="24"/>
          <w:highlight w:val="none"/>
          <w:lang w:val="en-US"/>
        </w:rPr>
        <w:t>（2）市级高标准农田调查摸底工作质量控制报告；</w:t>
      </w:r>
    </w:p>
    <w:p w14:paraId="4236B1E1">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lang w:val="en-US"/>
        </w:rPr>
        <w:t>（3）市级高标准农田调查摸底质量控制报告对全市高标准农田多源数据库、成果进行汇总、抽查、校核、分析并形成高标农田检查评估成果报告；生成更加全面准确的高标准农田“一张图”。</w:t>
      </w:r>
    </w:p>
    <w:p w14:paraId="6039C0DC">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lang w:val="en-US"/>
        </w:rPr>
        <w:t>3.质量要求：合格。</w:t>
      </w:r>
    </w:p>
    <w:p w14:paraId="369426A8">
      <w:pPr>
        <w:keepNext w:val="0"/>
        <w:keepLines w:val="0"/>
        <w:pageBreakBefore w:val="0"/>
        <w:widowControl w:val="0"/>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b/>
          <w:bCs/>
          <w:color w:val="auto"/>
          <w:spacing w:val="-4"/>
          <w:kern w:val="0"/>
          <w:sz w:val="24"/>
          <w:highlight w:val="none"/>
          <w:lang w:val="en-US"/>
        </w:rPr>
        <w:t>七、</w:t>
      </w:r>
      <w:r>
        <w:rPr>
          <w:rFonts w:hint="eastAsia" w:ascii="仿宋" w:hAnsi="仿宋" w:eastAsia="仿宋" w:cs="仿宋"/>
          <w:b/>
          <w:bCs/>
          <w:color w:val="auto"/>
          <w:spacing w:val="-4"/>
          <w:kern w:val="0"/>
          <w:sz w:val="24"/>
          <w:highlight w:val="none"/>
        </w:rPr>
        <w:t>项目人员配置</w:t>
      </w:r>
    </w:p>
    <w:p w14:paraId="679FF8EE">
      <w:pPr>
        <w:keepNext w:val="0"/>
        <w:keepLines w:val="0"/>
        <w:pageBreakBefore w:val="0"/>
        <w:widowControl w:val="0"/>
        <w:spacing w:line="520" w:lineRule="exact"/>
        <w:ind w:firstLine="464"/>
        <w:rPr>
          <w:rFonts w:hint="eastAsia" w:ascii="仿宋" w:hAnsi="仿宋" w:eastAsia="仿宋" w:cs="仿宋"/>
          <w:color w:val="auto"/>
          <w:kern w:val="0"/>
          <w:sz w:val="24"/>
          <w:szCs w:val="24"/>
          <w:highlight w:val="none"/>
        </w:rPr>
      </w:pPr>
      <w:r>
        <w:rPr>
          <w:rFonts w:hint="eastAsia" w:ascii="仿宋" w:hAnsi="仿宋" w:eastAsia="仿宋" w:cs="仿宋"/>
          <w:color w:val="auto"/>
          <w:spacing w:val="-4"/>
          <w:kern w:val="0"/>
          <w:sz w:val="24"/>
          <w:highlight w:val="none"/>
        </w:rPr>
        <w:t>供应商须组建专业的技术服务团队，人员配置满足本次采购需求，其中包含</w:t>
      </w:r>
      <w:r>
        <w:rPr>
          <w:rFonts w:hint="eastAsia" w:ascii="仿宋" w:hAnsi="仿宋" w:eastAsia="仿宋" w:cs="仿宋"/>
          <w:color w:val="auto"/>
          <w:spacing w:val="-4"/>
          <w:kern w:val="0"/>
          <w:sz w:val="24"/>
          <w:highlight w:val="none"/>
        </w:rPr>
        <w:t>项目组负责人1名，技术负责人1名，项目组其他成员不少于14名</w:t>
      </w:r>
      <w:r>
        <w:rPr>
          <w:rFonts w:hint="eastAsia" w:ascii="仿宋" w:hAnsi="仿宋" w:eastAsia="仿宋" w:cs="仿宋"/>
          <w:color w:val="auto"/>
          <w:spacing w:val="-4"/>
          <w:kern w:val="0"/>
          <w:sz w:val="24"/>
          <w:highlight w:val="none"/>
        </w:rPr>
        <w:t>。</w:t>
      </w:r>
    </w:p>
    <w:p w14:paraId="75CC5671">
      <w:pPr>
        <w:spacing w:line="520" w:lineRule="exact"/>
        <w:ind w:firstLine="466"/>
        <w:rPr>
          <w:rFonts w:hint="eastAsia" w:ascii="仿宋" w:hAnsi="仿宋" w:eastAsia="仿宋" w:cs="仿宋"/>
          <w:b/>
          <w:bCs/>
          <w:color w:val="auto"/>
          <w:spacing w:val="-4"/>
          <w:kern w:val="0"/>
          <w:sz w:val="24"/>
          <w:szCs w:val="22"/>
          <w:highlight w:val="none"/>
          <w:lang w:val="en-US"/>
        </w:rPr>
      </w:pPr>
      <w:r>
        <w:rPr>
          <w:rFonts w:hint="eastAsia" w:ascii="仿宋" w:hAnsi="仿宋" w:eastAsia="仿宋" w:cs="仿宋"/>
          <w:b/>
          <w:bCs/>
          <w:color w:val="auto"/>
          <w:spacing w:val="-4"/>
          <w:kern w:val="0"/>
          <w:sz w:val="24"/>
          <w:highlight w:val="none"/>
          <w:lang w:val="en-US"/>
        </w:rPr>
        <w:t>八、安全保密措施</w:t>
      </w:r>
      <w:bookmarkStart w:id="0" w:name="_GoBack"/>
      <w:bookmarkEnd w:id="0"/>
    </w:p>
    <w:p w14:paraId="040CA03D">
      <w:pPr>
        <w:spacing w:line="520" w:lineRule="exact"/>
        <w:ind w:firstLine="466"/>
        <w:rPr>
          <w:rFonts w:hint="default" w:ascii="仿宋" w:hAnsi="仿宋" w:eastAsia="仿宋" w:cs="仿宋"/>
          <w:b w:val="0"/>
          <w:bCs w:val="0"/>
          <w:color w:val="auto"/>
          <w:spacing w:val="-4"/>
          <w:kern w:val="0"/>
          <w:sz w:val="24"/>
          <w:szCs w:val="22"/>
          <w:highlight w:val="none"/>
          <w:lang w:val="en-US"/>
        </w:rPr>
      </w:pPr>
      <w:r>
        <w:rPr>
          <w:rFonts w:hint="eastAsia" w:ascii="仿宋" w:hAnsi="仿宋" w:eastAsia="仿宋" w:cs="仿宋"/>
          <w:b w:val="0"/>
          <w:bCs w:val="0"/>
          <w:color w:val="auto"/>
          <w:spacing w:val="-4"/>
          <w:kern w:val="0"/>
          <w:sz w:val="24"/>
          <w:highlight w:val="none"/>
          <w:lang w:val="en-US"/>
        </w:rPr>
        <w:t>工作中涉及的敏感资料、电子数据等相关信息，成交供应商应严格执行保密的相关规定，不得以任何方式向任何第三方披露、泄露或许可第三方使用，并与采购单位签订保密协议，否则追究其相应法律责任。</w:t>
      </w:r>
    </w:p>
    <w:p w14:paraId="19F1FF2A">
      <w:pPr>
        <w:spacing w:line="520" w:lineRule="exact"/>
        <w:ind w:firstLine="466"/>
        <w:rPr>
          <w:rFonts w:hint="eastAsia" w:ascii="仿宋" w:hAnsi="仿宋" w:eastAsia="仿宋" w:cs="仿宋"/>
          <w:b/>
          <w:bCs/>
          <w:color w:val="auto"/>
          <w:spacing w:val="-4"/>
          <w:kern w:val="0"/>
          <w:sz w:val="24"/>
          <w:szCs w:val="24"/>
          <w:highlight w:val="none"/>
          <w:lang w:val="en-US" w:eastAsia="zh-CN"/>
        </w:rPr>
      </w:pPr>
      <w:r>
        <w:rPr>
          <w:rFonts w:hint="eastAsia" w:ascii="仿宋" w:hAnsi="仿宋" w:eastAsia="仿宋" w:cs="仿宋"/>
          <w:b/>
          <w:bCs/>
          <w:color w:val="auto"/>
          <w:spacing w:val="-4"/>
          <w:kern w:val="0"/>
          <w:sz w:val="24"/>
          <w:szCs w:val="24"/>
          <w:highlight w:val="none"/>
          <w:lang w:val="en-US" w:eastAsia="zh-CN"/>
        </w:rPr>
        <w:t>九</w:t>
      </w:r>
      <w:r>
        <w:rPr>
          <w:rFonts w:hint="eastAsia" w:ascii="仿宋" w:hAnsi="仿宋" w:eastAsia="仿宋" w:cs="仿宋"/>
          <w:b/>
          <w:bCs/>
          <w:color w:val="auto"/>
          <w:spacing w:val="-4"/>
          <w:kern w:val="0"/>
          <w:sz w:val="24"/>
          <w:szCs w:val="24"/>
          <w:highlight w:val="none"/>
          <w:lang w:val="en-US"/>
        </w:rPr>
        <w:t>、</w:t>
      </w:r>
      <w:r>
        <w:rPr>
          <w:rFonts w:hint="eastAsia" w:ascii="仿宋" w:hAnsi="仿宋" w:eastAsia="仿宋" w:cs="仿宋"/>
          <w:b/>
          <w:bCs/>
          <w:color w:val="auto"/>
          <w:spacing w:val="-4"/>
          <w:kern w:val="0"/>
          <w:sz w:val="24"/>
          <w:szCs w:val="24"/>
          <w:highlight w:val="none"/>
          <w:lang w:val="en-US" w:eastAsia="zh-CN"/>
        </w:rPr>
        <w:t>服务承诺</w:t>
      </w:r>
    </w:p>
    <w:p w14:paraId="4EA3521A">
      <w:pPr>
        <w:spacing w:line="520" w:lineRule="exact"/>
        <w:ind w:firstLine="466"/>
        <w:rPr>
          <w:rFonts w:hint="eastAsia" w:ascii="仿宋" w:hAnsi="仿宋" w:eastAsia="仿宋" w:cs="仿宋"/>
          <w:b w:val="0"/>
          <w:bCs w:val="0"/>
          <w:color w:val="auto"/>
          <w:spacing w:val="-4"/>
          <w:kern w:val="0"/>
          <w:sz w:val="24"/>
          <w:szCs w:val="24"/>
          <w:highlight w:val="none"/>
          <w:lang w:val="en-US"/>
        </w:rPr>
      </w:pPr>
      <w:r>
        <w:rPr>
          <w:rFonts w:hint="eastAsia" w:ascii="仿宋" w:hAnsi="仿宋" w:eastAsia="仿宋" w:cs="仿宋"/>
          <w:b w:val="0"/>
          <w:bCs w:val="0"/>
          <w:color w:val="auto"/>
          <w:spacing w:val="-4"/>
          <w:kern w:val="0"/>
          <w:sz w:val="24"/>
          <w:szCs w:val="24"/>
          <w:highlight w:val="none"/>
          <w:lang w:val="en-US"/>
        </w:rPr>
        <w:t>供应商针对本项目提供服务承诺，包括但不限于响应时间、应急预案、后续服务承诺及服务条款。</w:t>
      </w:r>
    </w:p>
    <w:p w14:paraId="63D00D95">
      <w:pPr>
        <w:spacing w:line="520" w:lineRule="exact"/>
        <w:ind w:firstLine="466"/>
        <w:rPr>
          <w:rFonts w:hint="eastAsia" w:ascii="仿宋" w:hAnsi="仿宋" w:eastAsia="仿宋" w:cs="仿宋"/>
          <w:b/>
          <w:bCs/>
          <w:color w:val="auto"/>
          <w:spacing w:val="-4"/>
          <w:kern w:val="0"/>
          <w:sz w:val="24"/>
          <w:szCs w:val="22"/>
          <w:highlight w:val="none"/>
        </w:rPr>
      </w:pPr>
      <w:r>
        <w:rPr>
          <w:rFonts w:hint="eastAsia" w:ascii="仿宋" w:hAnsi="仿宋" w:eastAsia="仿宋" w:cs="仿宋"/>
          <w:b/>
          <w:bCs/>
          <w:color w:val="auto"/>
          <w:spacing w:val="-4"/>
          <w:kern w:val="0"/>
          <w:sz w:val="24"/>
          <w:highlight w:val="none"/>
          <w:lang w:val="en-US"/>
        </w:rPr>
        <w:t>十、验收要求</w:t>
      </w:r>
    </w:p>
    <w:p w14:paraId="726BC6D0">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项目符合国家、行业、地方相关规定，并满足采购人要求，</w:t>
      </w:r>
      <w:r>
        <w:rPr>
          <w:rFonts w:hint="eastAsia" w:ascii="仿宋" w:hAnsi="仿宋" w:eastAsia="仿宋" w:cs="仿宋"/>
          <w:b w:val="0"/>
          <w:bCs w:val="0"/>
          <w:color w:val="auto"/>
          <w:spacing w:val="-4"/>
          <w:kern w:val="0"/>
          <w:sz w:val="24"/>
          <w:szCs w:val="24"/>
          <w:highlight w:val="none"/>
        </w:rPr>
        <w:t>顺利通过采购单位验收。</w:t>
      </w:r>
    </w:p>
    <w:p w14:paraId="7829512C">
      <w:pPr>
        <w:spacing w:line="520" w:lineRule="exact"/>
        <w:ind w:firstLine="464"/>
        <w:rPr>
          <w:rFonts w:hint="eastAsia" w:ascii="仿宋" w:hAnsi="仿宋" w:eastAsia="仿宋" w:cs="仿宋"/>
          <w:b w:val="0"/>
          <w:bCs w:val="0"/>
          <w:color w:val="auto"/>
          <w:spacing w:val="-4"/>
          <w:kern w:val="0"/>
          <w:sz w:val="24"/>
          <w:szCs w:val="22"/>
          <w:highlight w:val="none"/>
        </w:rPr>
      </w:pPr>
      <w:r>
        <w:rPr>
          <w:rFonts w:hint="eastAsia" w:ascii="仿宋" w:hAnsi="仿宋" w:eastAsia="仿宋" w:cs="仿宋"/>
          <w:b w:val="0"/>
          <w:bCs w:val="0"/>
          <w:color w:val="auto"/>
          <w:spacing w:val="-4"/>
          <w:kern w:val="0"/>
          <w:sz w:val="24"/>
          <w:highlight w:val="none"/>
        </w:rPr>
        <w:t>1</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文字类成果需通过工作专班的评审；</w:t>
      </w:r>
    </w:p>
    <w:p w14:paraId="02CD465C">
      <w:pPr>
        <w:spacing w:line="520" w:lineRule="exact"/>
        <w:ind w:firstLine="464"/>
        <w:rPr>
          <w:rFonts w:hint="eastAsia" w:ascii="仿宋" w:hAnsi="仿宋" w:eastAsia="仿宋" w:cs="仿宋"/>
          <w:b w:val="0"/>
          <w:bCs w:val="0"/>
          <w:color w:val="auto"/>
          <w:kern w:val="0"/>
          <w:szCs w:val="22"/>
          <w:highlight w:val="none"/>
        </w:rPr>
      </w:pPr>
      <w:r>
        <w:rPr>
          <w:rFonts w:hint="eastAsia" w:ascii="仿宋" w:hAnsi="仿宋" w:eastAsia="仿宋" w:cs="仿宋"/>
          <w:b w:val="0"/>
          <w:bCs w:val="0"/>
          <w:color w:val="auto"/>
          <w:spacing w:val="-4"/>
          <w:kern w:val="0"/>
          <w:sz w:val="24"/>
          <w:highlight w:val="none"/>
        </w:rPr>
        <w:t>2</w:t>
      </w:r>
      <w:r>
        <w:rPr>
          <w:rFonts w:hint="eastAsia" w:ascii="仿宋" w:hAnsi="仿宋" w:eastAsia="仿宋" w:cs="仿宋"/>
          <w:b w:val="0"/>
          <w:bCs w:val="0"/>
          <w:color w:val="auto"/>
          <w:spacing w:val="-4"/>
          <w:kern w:val="0"/>
          <w:sz w:val="24"/>
          <w:highlight w:val="none"/>
          <w:lang w:val="en-US"/>
        </w:rPr>
        <w:t>.</w:t>
      </w:r>
      <w:r>
        <w:rPr>
          <w:rFonts w:hint="eastAsia" w:ascii="仿宋" w:hAnsi="仿宋" w:eastAsia="仿宋" w:cs="仿宋"/>
          <w:b w:val="0"/>
          <w:bCs w:val="0"/>
          <w:color w:val="auto"/>
          <w:spacing w:val="-4"/>
          <w:kern w:val="0"/>
          <w:sz w:val="24"/>
          <w:highlight w:val="none"/>
        </w:rPr>
        <w:t>数据类成果需满足规程规范，通过软件质检并满足质量控制标准。</w:t>
      </w:r>
    </w:p>
    <w:p w14:paraId="210D313A">
      <w:pPr>
        <w:spacing w:line="520" w:lineRule="exact"/>
        <w:ind w:firstLine="466"/>
        <w:rPr>
          <w:rFonts w:hint="eastAsia" w:ascii="仿宋" w:hAnsi="仿宋" w:eastAsia="仿宋" w:cs="仿宋"/>
          <w:b/>
          <w:bCs/>
          <w:color w:val="auto"/>
          <w:spacing w:val="-4"/>
          <w:kern w:val="0"/>
          <w:sz w:val="24"/>
          <w:szCs w:val="22"/>
          <w:highlight w:val="none"/>
        </w:rPr>
      </w:pPr>
      <w:r>
        <w:rPr>
          <w:rFonts w:hint="eastAsia" w:ascii="仿宋" w:hAnsi="仿宋" w:eastAsia="仿宋" w:cs="仿宋"/>
          <w:b/>
          <w:bCs/>
          <w:color w:val="auto"/>
          <w:spacing w:val="-4"/>
          <w:kern w:val="0"/>
          <w:sz w:val="24"/>
          <w:highlight w:val="none"/>
          <w:lang w:val="en-US"/>
        </w:rPr>
        <w:t>十一、</w:t>
      </w:r>
      <w:r>
        <w:rPr>
          <w:rFonts w:hint="eastAsia" w:ascii="仿宋" w:hAnsi="仿宋" w:eastAsia="仿宋" w:cs="仿宋"/>
          <w:b/>
          <w:bCs/>
          <w:color w:val="auto"/>
          <w:spacing w:val="-4"/>
          <w:kern w:val="0"/>
          <w:sz w:val="24"/>
          <w:highlight w:val="none"/>
        </w:rPr>
        <w:t>采购标的需实现的功能或者目标，以及为落实政府采购政策需满足的要求：</w:t>
      </w:r>
    </w:p>
    <w:p w14:paraId="62D78E1A">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1.采购本国货物、工程和服务</w:t>
      </w:r>
    </w:p>
    <w:p w14:paraId="7328352A">
      <w:pPr>
        <w:spacing w:line="520" w:lineRule="exact"/>
        <w:ind w:firstLine="464"/>
        <w:rPr>
          <w:rFonts w:hint="eastAsia" w:ascii="仿宋" w:hAnsi="仿宋" w:eastAsia="仿宋" w:cs="仿宋"/>
          <w:color w:val="auto"/>
          <w:spacing w:val="-4"/>
          <w:kern w:val="0"/>
          <w:sz w:val="24"/>
          <w:szCs w:val="22"/>
          <w:highlight w:val="none"/>
        </w:rPr>
      </w:pPr>
      <w:r>
        <w:rPr>
          <w:rFonts w:hint="eastAsia" w:ascii="仿宋" w:hAnsi="仿宋" w:eastAsia="仿宋" w:cs="仿宋"/>
          <w:color w:val="auto"/>
          <w:spacing w:val="-4"/>
          <w:kern w:val="0"/>
          <w:sz w:val="24"/>
          <w:highlight w:val="none"/>
        </w:rPr>
        <w:t>1.1政府采购应当采购本国货物、工程和服务，但有《中华人民共和国政府采购法》第十条规定情形的除外。</w:t>
      </w:r>
    </w:p>
    <w:p w14:paraId="21DFF7F4">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0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2024-12-09T06:41:17Z</dcterms:created>
  <dc:creator>Administrator</dc:creator>
  <cp:lastModifiedBy>RERE</cp:lastModifiedBy>
  <dcterms:modified xsi:type="dcterms:W3CDTF">2024-12-09T06:41:34Z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31721EE02D794FF69E6C1CDF41BC1B04_12</vt:lpwstr>
  </property>
</Properties>
</file>